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4A" w:rsidRPr="0084174A" w:rsidRDefault="007A3AB4" w:rsidP="00E32D65">
      <w:pPr>
        <w:jc w:val="both"/>
        <w:rPr>
          <w:rFonts w:ascii="Calibri" w:hAnsi="Calibri"/>
          <w:b/>
        </w:rPr>
      </w:pPr>
      <w:r w:rsidRPr="0084174A">
        <w:rPr>
          <w:rFonts w:ascii="Calibri" w:hAnsi="Calibri"/>
          <w:b/>
        </w:rPr>
        <w:t>Nota Pastoral do Conselho Permanente</w:t>
      </w:r>
    </w:p>
    <w:p w:rsidR="0083221B" w:rsidRPr="0084174A" w:rsidRDefault="00E32D65" w:rsidP="00E32D65">
      <w:pPr>
        <w:jc w:val="both"/>
        <w:rPr>
          <w:rFonts w:ascii="Calibri" w:hAnsi="Calibri"/>
          <w:b/>
        </w:rPr>
      </w:pPr>
      <w:r w:rsidRPr="0084174A">
        <w:rPr>
          <w:rFonts w:ascii="Calibri" w:hAnsi="Calibri"/>
          <w:b/>
        </w:rPr>
        <w:t xml:space="preserve">da </w:t>
      </w:r>
      <w:r w:rsidR="0084174A" w:rsidRPr="0084174A">
        <w:rPr>
          <w:rFonts w:ascii="Calibri" w:hAnsi="Calibri"/>
          <w:b/>
        </w:rPr>
        <w:t>Conferência Episcopal Portuguesa</w:t>
      </w:r>
    </w:p>
    <w:p w:rsidR="00104DBB" w:rsidRPr="0084174A" w:rsidRDefault="00104DBB" w:rsidP="00E32D65">
      <w:pPr>
        <w:jc w:val="both"/>
        <w:rPr>
          <w:rFonts w:ascii="Calibri" w:hAnsi="Calibri"/>
        </w:rPr>
      </w:pPr>
    </w:p>
    <w:p w:rsidR="00741487" w:rsidRPr="0084174A" w:rsidRDefault="00741487" w:rsidP="00E32D65">
      <w:pPr>
        <w:jc w:val="both"/>
        <w:rPr>
          <w:rFonts w:ascii="Calibri" w:hAnsi="Calibri"/>
          <w:b/>
          <w:i/>
          <w:sz w:val="26"/>
          <w:szCs w:val="26"/>
        </w:rPr>
      </w:pPr>
      <w:r w:rsidRPr="0084174A">
        <w:rPr>
          <w:rFonts w:ascii="Calibri" w:hAnsi="Calibri"/>
          <w:b/>
          <w:sz w:val="26"/>
          <w:szCs w:val="26"/>
        </w:rPr>
        <w:t>«</w:t>
      </w:r>
      <w:r w:rsidRPr="0084174A">
        <w:rPr>
          <w:rFonts w:ascii="Calibri" w:hAnsi="Calibri"/>
          <w:b/>
          <w:i/>
          <w:sz w:val="26"/>
          <w:szCs w:val="26"/>
        </w:rPr>
        <w:t>Eutanásia: o que está em causa?</w:t>
      </w:r>
    </w:p>
    <w:p w:rsidR="00741487" w:rsidRPr="0084174A" w:rsidRDefault="00741487" w:rsidP="00E32D65">
      <w:pPr>
        <w:jc w:val="both"/>
        <w:rPr>
          <w:rFonts w:ascii="Calibri" w:hAnsi="Calibri"/>
          <w:b/>
          <w:sz w:val="26"/>
          <w:szCs w:val="26"/>
        </w:rPr>
      </w:pPr>
      <w:r w:rsidRPr="0084174A">
        <w:rPr>
          <w:rFonts w:ascii="Calibri" w:hAnsi="Calibri"/>
          <w:b/>
          <w:i/>
          <w:sz w:val="26"/>
          <w:szCs w:val="26"/>
        </w:rPr>
        <w:t>Contributos para um diálogo sereno e humanizador</w:t>
      </w:r>
      <w:r w:rsidRPr="0084174A">
        <w:rPr>
          <w:rFonts w:ascii="Calibri" w:hAnsi="Calibri"/>
          <w:b/>
          <w:sz w:val="26"/>
          <w:szCs w:val="26"/>
        </w:rPr>
        <w:t>»</w:t>
      </w:r>
    </w:p>
    <w:p w:rsidR="00104DBB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1. As questões ligadas à legalização da eutanásia e do suicídio assistido estão em discussão na Assembleia da República e na sociedade. Como contributo para esse debate, </w:t>
      </w:r>
      <w:r w:rsidR="007A3AB4" w:rsidRPr="0084174A">
        <w:rPr>
          <w:rFonts w:ascii="Calibri" w:hAnsi="Calibri"/>
          <w:sz w:val="23"/>
          <w:szCs w:val="23"/>
        </w:rPr>
        <w:t>que desejamos seja em di</w:t>
      </w:r>
      <w:r w:rsidR="00111593" w:rsidRPr="0084174A">
        <w:rPr>
          <w:rFonts w:ascii="Calibri" w:hAnsi="Calibri"/>
          <w:sz w:val="23"/>
          <w:szCs w:val="23"/>
        </w:rPr>
        <w:t>á</w:t>
      </w:r>
      <w:r w:rsidR="007A3AB4" w:rsidRPr="0084174A">
        <w:rPr>
          <w:rFonts w:ascii="Calibri" w:hAnsi="Calibri"/>
          <w:sz w:val="23"/>
          <w:szCs w:val="23"/>
        </w:rPr>
        <w:t xml:space="preserve">logo sereno e humanizador, </w:t>
      </w:r>
      <w:r w:rsidRPr="0084174A">
        <w:rPr>
          <w:rFonts w:ascii="Calibri" w:hAnsi="Calibri"/>
          <w:sz w:val="23"/>
          <w:szCs w:val="23"/>
        </w:rPr>
        <w:t xml:space="preserve">surge esta </w:t>
      </w:r>
      <w:r w:rsidR="007A3AB4" w:rsidRPr="0084174A">
        <w:rPr>
          <w:rFonts w:ascii="Calibri" w:hAnsi="Calibri"/>
          <w:sz w:val="23"/>
          <w:szCs w:val="23"/>
        </w:rPr>
        <w:t>N</w:t>
      </w:r>
      <w:r w:rsidRPr="0084174A">
        <w:rPr>
          <w:rFonts w:ascii="Calibri" w:hAnsi="Calibri"/>
          <w:sz w:val="23"/>
          <w:szCs w:val="23"/>
        </w:rPr>
        <w:t xml:space="preserve">ota </w:t>
      </w:r>
      <w:r w:rsidR="007A3AB4" w:rsidRPr="0084174A">
        <w:rPr>
          <w:rFonts w:ascii="Calibri" w:hAnsi="Calibri"/>
          <w:sz w:val="23"/>
          <w:szCs w:val="23"/>
        </w:rPr>
        <w:t xml:space="preserve">Pastoral </w:t>
      </w:r>
      <w:r w:rsidRPr="0084174A">
        <w:rPr>
          <w:rFonts w:ascii="Calibri" w:hAnsi="Calibri"/>
          <w:sz w:val="23"/>
          <w:szCs w:val="23"/>
        </w:rPr>
        <w:t>d</w:t>
      </w:r>
      <w:r w:rsidR="0024023E" w:rsidRPr="0084174A">
        <w:rPr>
          <w:rFonts w:ascii="Calibri" w:hAnsi="Calibri"/>
          <w:sz w:val="23"/>
          <w:szCs w:val="23"/>
        </w:rPr>
        <w:t>o Conselho Permanente da</w:t>
      </w:r>
      <w:r w:rsidRPr="0084174A">
        <w:rPr>
          <w:rFonts w:ascii="Calibri" w:hAnsi="Calibri"/>
          <w:sz w:val="23"/>
          <w:szCs w:val="23"/>
        </w:rPr>
        <w:t xml:space="preserve"> Conferência Episcopal </w:t>
      </w:r>
      <w:r w:rsidR="007A3AB4" w:rsidRPr="0084174A">
        <w:rPr>
          <w:rFonts w:ascii="Calibri" w:hAnsi="Calibri"/>
          <w:sz w:val="23"/>
          <w:szCs w:val="23"/>
        </w:rPr>
        <w:t>Portuguesa sobre o que verdadeiramente está em causa</w:t>
      </w:r>
      <w:r w:rsidR="0024023E" w:rsidRPr="0084174A">
        <w:rPr>
          <w:rStyle w:val="Refdenotaderodap"/>
          <w:rFonts w:ascii="Calibri" w:hAnsi="Calibri"/>
          <w:sz w:val="23"/>
          <w:szCs w:val="23"/>
        </w:rPr>
        <w:footnoteReference w:id="2"/>
      </w:r>
      <w:r w:rsidR="006A20E4" w:rsidRPr="0084174A">
        <w:rPr>
          <w:rFonts w:ascii="Calibri" w:hAnsi="Calibri"/>
          <w:sz w:val="23"/>
          <w:szCs w:val="23"/>
        </w:rPr>
        <w:t>.</w:t>
      </w:r>
    </w:p>
    <w:p w:rsidR="00104DBB" w:rsidRPr="0084174A" w:rsidRDefault="00104DBB" w:rsidP="00E32D65">
      <w:pPr>
        <w:ind w:firstLine="567"/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ab/>
      </w:r>
    </w:p>
    <w:p w:rsidR="00EB7216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2. Por eutanásia, deve entender-se «uma ação ou omissão que, por sua natureza e nas intenções, provoca a morte com o objetivo de eliminar o sofrimento»</w:t>
      </w:r>
      <w:r w:rsidRPr="0084174A">
        <w:rPr>
          <w:rStyle w:val="Refdenotaderodap"/>
          <w:rFonts w:ascii="Calibri" w:hAnsi="Calibri"/>
          <w:sz w:val="23"/>
          <w:szCs w:val="23"/>
        </w:rPr>
        <w:footnoteReference w:id="3"/>
      </w:r>
      <w:r w:rsidRPr="0084174A">
        <w:rPr>
          <w:rFonts w:ascii="Calibri" w:hAnsi="Calibri"/>
          <w:sz w:val="23"/>
          <w:szCs w:val="23"/>
        </w:rPr>
        <w:t>. A ela se pode equiparar o suicídio assistido, isto é, o ato pelo qual não se causa diretamente a morte de outrem, mas se presta auxílio para que essa pessoa ponha termo à sua própria vida.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Distinta da eutanásia é a decisão de renunciar à chamada </w:t>
      </w:r>
      <w:r w:rsidRPr="0084174A">
        <w:rPr>
          <w:rFonts w:ascii="Calibri" w:hAnsi="Calibri"/>
          <w:i/>
          <w:sz w:val="23"/>
          <w:szCs w:val="23"/>
        </w:rPr>
        <w:t>obstinação terapêutica</w:t>
      </w:r>
      <w:r w:rsidRPr="0084174A">
        <w:rPr>
          <w:rStyle w:val="Refdenotaderodap"/>
          <w:rFonts w:ascii="Calibri" w:hAnsi="Calibri"/>
          <w:sz w:val="23"/>
          <w:szCs w:val="23"/>
        </w:rPr>
        <w:footnoteReference w:id="4"/>
      </w:r>
      <w:r w:rsidRPr="0084174A">
        <w:rPr>
          <w:rFonts w:ascii="Calibri" w:hAnsi="Calibri"/>
          <w:sz w:val="23"/>
          <w:szCs w:val="23"/>
        </w:rPr>
        <w:t>, ou seja, «a certas intervenções médicas já inadequadas à situação real do doente, porque não proporcionadas aos resultados que se poderiam esperar ou ainda porque demasiado gravosas para ele e para a sua família»</w:t>
      </w:r>
      <w:r w:rsidRPr="0084174A">
        <w:rPr>
          <w:rStyle w:val="Refdenotaderodap"/>
          <w:rFonts w:ascii="Calibri" w:hAnsi="Calibri"/>
          <w:sz w:val="23"/>
          <w:szCs w:val="23"/>
        </w:rPr>
        <w:footnoteReference w:id="5"/>
      </w:r>
      <w:r w:rsidRPr="0084174A">
        <w:rPr>
          <w:rFonts w:ascii="Calibri" w:hAnsi="Calibri"/>
          <w:sz w:val="23"/>
          <w:szCs w:val="23"/>
        </w:rPr>
        <w:t>. «A renúncia a meios extraordinários ou desproporcionados não equivale ao suicídio ou à eutanásia; exprime, antes, a aceitação da condição humana perante a morte»</w:t>
      </w:r>
      <w:r w:rsidRPr="0084174A">
        <w:rPr>
          <w:rStyle w:val="Refdenotaderodap"/>
          <w:rFonts w:ascii="Calibri" w:hAnsi="Calibri"/>
          <w:sz w:val="23"/>
          <w:szCs w:val="23"/>
        </w:rPr>
        <w:footnoteReference w:id="6"/>
      </w:r>
      <w:r w:rsidRPr="0084174A">
        <w:rPr>
          <w:rFonts w:ascii="Calibri" w:hAnsi="Calibri"/>
          <w:sz w:val="23"/>
          <w:szCs w:val="23"/>
        </w:rPr>
        <w:t xml:space="preserve">. É, pois, bem diferente </w:t>
      </w:r>
      <w:r w:rsidRPr="0084174A">
        <w:rPr>
          <w:rFonts w:ascii="Calibri" w:hAnsi="Calibri"/>
          <w:i/>
          <w:sz w:val="23"/>
          <w:szCs w:val="23"/>
        </w:rPr>
        <w:t>matar</w:t>
      </w:r>
      <w:r w:rsidRPr="0084174A">
        <w:rPr>
          <w:rFonts w:ascii="Calibri" w:hAnsi="Calibri"/>
          <w:sz w:val="23"/>
          <w:szCs w:val="23"/>
        </w:rPr>
        <w:t xml:space="preserve"> e </w:t>
      </w:r>
      <w:r w:rsidRPr="0084174A">
        <w:rPr>
          <w:rFonts w:ascii="Calibri" w:hAnsi="Calibri"/>
          <w:i/>
          <w:sz w:val="23"/>
          <w:szCs w:val="23"/>
        </w:rPr>
        <w:t>aceitar a morte</w:t>
      </w:r>
      <w:r w:rsidRPr="0084174A">
        <w:rPr>
          <w:rFonts w:ascii="Calibri" w:hAnsi="Calibri"/>
          <w:sz w:val="23"/>
          <w:szCs w:val="23"/>
        </w:rPr>
        <w:t xml:space="preserve">. Quer a eutanásia, quer a </w:t>
      </w:r>
      <w:r w:rsidRPr="0084174A">
        <w:rPr>
          <w:rFonts w:ascii="Calibri" w:hAnsi="Calibri"/>
          <w:i/>
          <w:sz w:val="23"/>
          <w:szCs w:val="23"/>
        </w:rPr>
        <w:t>obstinação terapêutica</w:t>
      </w:r>
      <w:r w:rsidRPr="0084174A">
        <w:rPr>
          <w:rFonts w:ascii="Calibri" w:hAnsi="Calibri"/>
          <w:sz w:val="23"/>
          <w:szCs w:val="23"/>
        </w:rPr>
        <w:t xml:space="preserve">, constituem uma ingerência humana </w:t>
      </w:r>
      <w:r w:rsidR="002211AD" w:rsidRPr="0084174A">
        <w:rPr>
          <w:rFonts w:ascii="Calibri" w:hAnsi="Calibri"/>
          <w:sz w:val="23"/>
          <w:szCs w:val="23"/>
        </w:rPr>
        <w:t>anti</w:t>
      </w:r>
      <w:r w:rsidRPr="0084174A">
        <w:rPr>
          <w:rFonts w:ascii="Calibri" w:hAnsi="Calibri"/>
          <w:sz w:val="23"/>
          <w:szCs w:val="23"/>
        </w:rPr>
        <w:t xml:space="preserve">natural nesse momento-limite que é a morte: a primeira antecipa esse momento, a segunda prolonga-o de forma artificialmente inútil e penosa. 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ab/>
        <w:t xml:space="preserve"> 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3. De forma sintética, podemos dizer que subjacente à legalização da eutanásia e do suicídio assistido está a pretensão de redefinir </w:t>
      </w:r>
      <w:r w:rsidR="00111593" w:rsidRPr="0084174A">
        <w:rPr>
          <w:rFonts w:ascii="Calibri" w:hAnsi="Calibri"/>
          <w:sz w:val="23"/>
          <w:szCs w:val="23"/>
        </w:rPr>
        <w:t xml:space="preserve">tomadas de consciência éticas </w:t>
      </w:r>
      <w:r w:rsidRPr="0084174A">
        <w:rPr>
          <w:rFonts w:ascii="Calibri" w:hAnsi="Calibri"/>
          <w:sz w:val="23"/>
          <w:szCs w:val="23"/>
        </w:rPr>
        <w:t>e jurídicas ancestrais relativ</w:t>
      </w:r>
      <w:r w:rsidR="002211AD" w:rsidRPr="0084174A">
        <w:rPr>
          <w:rFonts w:ascii="Calibri" w:hAnsi="Calibri"/>
          <w:sz w:val="23"/>
          <w:szCs w:val="23"/>
        </w:rPr>
        <w:t>a</w:t>
      </w:r>
      <w:r w:rsidRPr="0084174A">
        <w:rPr>
          <w:rFonts w:ascii="Calibri" w:hAnsi="Calibri"/>
          <w:sz w:val="23"/>
          <w:szCs w:val="23"/>
        </w:rPr>
        <w:t>s ao respeito e à sacralidade da vida humana. Pretende-se que o</w:t>
      </w:r>
      <w:r w:rsidR="002211AD" w:rsidRPr="0084174A">
        <w:rPr>
          <w:rFonts w:ascii="Calibri" w:hAnsi="Calibri"/>
          <w:sz w:val="23"/>
          <w:szCs w:val="23"/>
        </w:rPr>
        <w:t xml:space="preserve"> </w:t>
      </w:r>
      <w:r w:rsidRPr="0084174A">
        <w:rPr>
          <w:rFonts w:ascii="Calibri" w:hAnsi="Calibri"/>
          <w:sz w:val="23"/>
          <w:szCs w:val="23"/>
        </w:rPr>
        <w:t>mandamento de que nunca é lícito matar uma pessoa humana inocente (</w:t>
      </w:r>
      <w:r w:rsidR="002211AD" w:rsidRPr="0084174A">
        <w:rPr>
          <w:rFonts w:asciiTheme="minorHAnsi" w:hAnsiTheme="minorHAnsi"/>
          <w:sz w:val="23"/>
          <w:szCs w:val="23"/>
        </w:rPr>
        <w:t>“</w:t>
      </w:r>
      <w:r w:rsidRPr="0084174A">
        <w:rPr>
          <w:rFonts w:ascii="Calibri" w:hAnsi="Calibri"/>
          <w:sz w:val="23"/>
          <w:szCs w:val="23"/>
        </w:rPr>
        <w:t>Não matarás”)</w:t>
      </w:r>
      <w:r w:rsidR="002211AD" w:rsidRPr="0084174A">
        <w:rPr>
          <w:rFonts w:ascii="Calibri" w:hAnsi="Calibri"/>
          <w:sz w:val="23"/>
          <w:szCs w:val="23"/>
        </w:rPr>
        <w:t xml:space="preserve"> </w:t>
      </w:r>
      <w:r w:rsidRPr="0084174A">
        <w:rPr>
          <w:rFonts w:ascii="Calibri" w:hAnsi="Calibri"/>
          <w:sz w:val="23"/>
          <w:szCs w:val="23"/>
        </w:rPr>
        <w:t xml:space="preserve">seja substituído por um outro, que só torna ilícito o ato de matar quando o visado quer viver. Consequentemente, intenta-se que a norma segundo a qual a vida humana é sempre merecedora de proteção, porque um bem em si mesma e porque dotada de dignidade em qualquer circunstância, seja substituída por um outro critério, segundo o qual a dignidade e valor da vida humana podem variar e podem perder-se. </w:t>
      </w:r>
      <w:r w:rsidR="002211AD" w:rsidRPr="0084174A">
        <w:rPr>
          <w:rFonts w:ascii="Calibri" w:hAnsi="Calibri"/>
          <w:sz w:val="23"/>
          <w:szCs w:val="23"/>
        </w:rPr>
        <w:t>Ora, na nossa conce</w:t>
      </w:r>
      <w:r w:rsidRPr="0084174A">
        <w:rPr>
          <w:rFonts w:ascii="Calibri" w:hAnsi="Calibri"/>
          <w:sz w:val="23"/>
          <w:szCs w:val="23"/>
        </w:rPr>
        <w:t>ção, isto é inaceitável.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4. Para os crentes, a vida não é um objeto de que se possa dispor arbitrariamente, é um dom de Deus e uma missão a cumprir. E é no mistério da morte e ressurreição de Jesus que os cristãos encontram o sentido do sofrimento. Mas quando se discute a legislação de um Estado laico importa encontrar na razão, na lei natural e na tradição de uma sabedoria acumulada um fundamento para as opções a tomar. O valor intrínseco da vida humana em todas as suas fases e em todas as situações está profundamente enraizado na nossa cultura e tem, inegavelmente, a marca judaico-cristã. Mas não é difícil encontrar na razão universal uma sólida base para esse princípio. A Constituição </w:t>
      </w:r>
      <w:r w:rsidR="002211AD" w:rsidRPr="0084174A">
        <w:rPr>
          <w:rFonts w:ascii="Calibri" w:hAnsi="Calibri"/>
          <w:sz w:val="23"/>
          <w:szCs w:val="23"/>
        </w:rPr>
        <w:t>P</w:t>
      </w:r>
      <w:r w:rsidRPr="0084174A">
        <w:rPr>
          <w:rFonts w:ascii="Calibri" w:hAnsi="Calibri"/>
          <w:sz w:val="23"/>
          <w:szCs w:val="23"/>
        </w:rPr>
        <w:t xml:space="preserve">ortuguesa reconhece-o ao afirmar categoricamente que «a vida humana é </w:t>
      </w:r>
      <w:r w:rsidR="00FF4D85" w:rsidRPr="0084174A">
        <w:rPr>
          <w:rFonts w:ascii="Calibri" w:hAnsi="Calibri"/>
          <w:sz w:val="23"/>
          <w:szCs w:val="23"/>
        </w:rPr>
        <w:t>inviolável» (artigo 24</w:t>
      </w:r>
      <w:r w:rsidR="0084174A" w:rsidRPr="0084174A">
        <w:rPr>
          <w:rFonts w:ascii="Calibri" w:hAnsi="Calibri"/>
          <w:sz w:val="23"/>
          <w:szCs w:val="23"/>
        </w:rPr>
        <w:t>.</w:t>
      </w:r>
      <w:r w:rsidR="00FF4D85" w:rsidRPr="0084174A">
        <w:rPr>
          <w:rFonts w:ascii="Calibri" w:hAnsi="Calibri"/>
          <w:sz w:val="23"/>
          <w:szCs w:val="23"/>
        </w:rPr>
        <w:t>º, n</w:t>
      </w:r>
      <w:r w:rsidR="0084174A" w:rsidRPr="0084174A">
        <w:rPr>
          <w:rFonts w:ascii="Calibri" w:hAnsi="Calibri"/>
          <w:sz w:val="23"/>
          <w:szCs w:val="23"/>
        </w:rPr>
        <w:t>.</w:t>
      </w:r>
      <w:r w:rsidR="00FF4D85" w:rsidRPr="0084174A">
        <w:rPr>
          <w:rFonts w:ascii="Calibri" w:hAnsi="Calibri"/>
          <w:sz w:val="23"/>
          <w:szCs w:val="23"/>
        </w:rPr>
        <w:t>º 1).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lastRenderedPageBreak/>
        <w:t xml:space="preserve">5. A vida humana é o pressuposto de todos os direitos e de todos os bens terrenos. É também o pressuposto da autonomia e da dignidade. Por isso, não pode justificar-se a morte de uma pessoa com o consentimento desta. O homicídio não deixa de ser homicídio por ser consentido pela vítima. A inviolabilidade da vida humana não cessa com </w:t>
      </w:r>
      <w:r w:rsidR="00FF4D85" w:rsidRPr="0084174A">
        <w:rPr>
          <w:rFonts w:ascii="Calibri" w:hAnsi="Calibri"/>
          <w:sz w:val="23"/>
          <w:szCs w:val="23"/>
        </w:rPr>
        <w:t>o consentimento do seu titular.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O direito à vida é indisponível, como o são outros direitos humanos fundamentais, expressão do valor objetivo da dignidade da pessoa humana. Também não podem justificar-se, mesmo com o consentimento da vítima, a escravatura, o trabalho em condições desumanas ou um atentado à saúde, por exemplo.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6. Por outro lado, nunca é absolutamente seguro que se respeita a vontade autêntica de uma pessoa que pede a eutanásia. Nunca pode haver a garantia absoluta de que o pedido de eutanásia é verdadeiramente livre, inequívoco e irreversível.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 Muitas vezes, traduz um estado de espírito mo</w:t>
      </w:r>
      <w:r w:rsidR="002211AD" w:rsidRPr="0084174A">
        <w:rPr>
          <w:rFonts w:ascii="Calibri" w:hAnsi="Calibri"/>
          <w:sz w:val="23"/>
          <w:szCs w:val="23"/>
        </w:rPr>
        <w:t>mentâneo, que pode ser superado, o</w:t>
      </w:r>
      <w:r w:rsidRPr="0084174A">
        <w:rPr>
          <w:rFonts w:ascii="Calibri" w:hAnsi="Calibri"/>
          <w:sz w:val="23"/>
          <w:szCs w:val="23"/>
        </w:rPr>
        <w:t>u é fruto de estados depressivos passíveis de tratamento</w:t>
      </w:r>
      <w:r w:rsidR="002211AD" w:rsidRPr="0084174A">
        <w:rPr>
          <w:rFonts w:ascii="Calibri" w:hAnsi="Calibri"/>
          <w:sz w:val="23"/>
          <w:szCs w:val="23"/>
        </w:rPr>
        <w:t>, o</w:t>
      </w:r>
      <w:r w:rsidRPr="0084174A">
        <w:rPr>
          <w:rFonts w:ascii="Calibri" w:hAnsi="Calibri"/>
          <w:sz w:val="23"/>
          <w:szCs w:val="23"/>
        </w:rPr>
        <w:t>u será expressão de uma vontade de viver de outro modo (sem o sofrimento, a solidão ou a falta de amor experimentados), ou um grito de desespero de quem se sente abandonado e quer chamar a atenção dos outros. Mas não será a</w:t>
      </w:r>
      <w:r w:rsidR="002211AD" w:rsidRPr="0084174A">
        <w:rPr>
          <w:rFonts w:ascii="Calibri" w:hAnsi="Calibri"/>
          <w:sz w:val="23"/>
          <w:szCs w:val="23"/>
        </w:rPr>
        <w:t xml:space="preserve"> </w:t>
      </w:r>
      <w:r w:rsidRPr="0084174A">
        <w:rPr>
          <w:rFonts w:ascii="Calibri" w:hAnsi="Calibri"/>
          <w:sz w:val="23"/>
          <w:szCs w:val="23"/>
        </w:rPr>
        <w:t>manifestação de uma autêntica vontade de morrer. É, pois, uma linguagem alternativa de quem</w:t>
      </w:r>
      <w:r w:rsidR="002211AD" w:rsidRPr="0084174A">
        <w:rPr>
          <w:rFonts w:ascii="Calibri" w:hAnsi="Calibri"/>
          <w:sz w:val="23"/>
          <w:szCs w:val="23"/>
        </w:rPr>
        <w:t xml:space="preserve"> pede socorro e proximidade afe</w:t>
      </w:r>
      <w:r w:rsidRPr="0084174A">
        <w:rPr>
          <w:rFonts w:ascii="Calibri" w:hAnsi="Calibri"/>
          <w:sz w:val="23"/>
          <w:szCs w:val="23"/>
        </w:rPr>
        <w:t>tiva. A dúvida há de subsistir sempre, sendo que a decisão de suprimir uma vida é a mais absolutamente irreversível de</w:t>
      </w:r>
      <w:r w:rsidR="00111593" w:rsidRPr="0084174A">
        <w:rPr>
          <w:rFonts w:ascii="Calibri" w:hAnsi="Calibri"/>
          <w:sz w:val="23"/>
          <w:szCs w:val="23"/>
        </w:rPr>
        <w:t xml:space="preserve"> </w:t>
      </w:r>
      <w:r w:rsidRPr="0084174A">
        <w:rPr>
          <w:rFonts w:ascii="Calibri" w:hAnsi="Calibri"/>
          <w:sz w:val="23"/>
          <w:szCs w:val="23"/>
        </w:rPr>
        <w:t>qualquer das decisões.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7. Em nome da autonomia, </w:t>
      </w:r>
      <w:r w:rsidR="002211AD" w:rsidRPr="0084174A">
        <w:rPr>
          <w:rFonts w:ascii="Calibri" w:hAnsi="Calibri"/>
          <w:sz w:val="23"/>
          <w:szCs w:val="23"/>
        </w:rPr>
        <w:t xml:space="preserve">os que defendem a legalização da eutanásia e do suicídio assistido não </w:t>
      </w:r>
      <w:r w:rsidRPr="0084174A">
        <w:rPr>
          <w:rFonts w:ascii="Calibri" w:hAnsi="Calibri"/>
          <w:sz w:val="23"/>
          <w:szCs w:val="23"/>
        </w:rPr>
        <w:t>chega</w:t>
      </w:r>
      <w:r w:rsidR="002211AD" w:rsidRPr="0084174A">
        <w:rPr>
          <w:rFonts w:ascii="Calibri" w:hAnsi="Calibri"/>
          <w:sz w:val="23"/>
          <w:szCs w:val="23"/>
        </w:rPr>
        <w:t>m</w:t>
      </w:r>
      <w:r w:rsidRPr="0084174A">
        <w:rPr>
          <w:rFonts w:ascii="Calibri" w:hAnsi="Calibri"/>
          <w:sz w:val="23"/>
          <w:szCs w:val="23"/>
        </w:rPr>
        <w:t>, por ora, ao ponto de pretender a legalização do homicídio a pedido e do auxílio ao suicídio</w:t>
      </w:r>
      <w:r w:rsidR="002211AD" w:rsidRPr="0084174A">
        <w:rPr>
          <w:rFonts w:ascii="Calibri" w:hAnsi="Calibri"/>
          <w:sz w:val="23"/>
          <w:szCs w:val="23"/>
        </w:rPr>
        <w:t xml:space="preserve"> em quaisquer circunstâncias</w:t>
      </w:r>
      <w:r w:rsidRPr="0084174A">
        <w:rPr>
          <w:rFonts w:ascii="Calibri" w:hAnsi="Calibri"/>
          <w:sz w:val="23"/>
          <w:szCs w:val="23"/>
        </w:rPr>
        <w:t>. Pretende</w:t>
      </w:r>
      <w:r w:rsidR="006C229C" w:rsidRPr="0084174A">
        <w:rPr>
          <w:rFonts w:ascii="Calibri" w:hAnsi="Calibri"/>
          <w:sz w:val="23"/>
          <w:szCs w:val="23"/>
        </w:rPr>
        <w:t>m</w:t>
      </w:r>
      <w:r w:rsidRPr="0084174A">
        <w:rPr>
          <w:rFonts w:ascii="Calibri" w:hAnsi="Calibri"/>
          <w:sz w:val="23"/>
          <w:szCs w:val="23"/>
        </w:rPr>
        <w:t xml:space="preserve"> apenas reconhecer a licitude da supressão da vida, quando consentida, em situações de sofrimento intolerável ou em fases terminais. </w:t>
      </w:r>
      <w:r w:rsidR="002211AD" w:rsidRPr="0084174A">
        <w:rPr>
          <w:rFonts w:ascii="Calibri" w:hAnsi="Calibri"/>
          <w:sz w:val="23"/>
          <w:szCs w:val="23"/>
        </w:rPr>
        <w:t>D</w:t>
      </w:r>
      <w:r w:rsidRPr="0084174A">
        <w:rPr>
          <w:rFonts w:ascii="Calibri" w:hAnsi="Calibri"/>
          <w:sz w:val="23"/>
          <w:szCs w:val="23"/>
        </w:rPr>
        <w:t xml:space="preserve">esta forma, </w:t>
      </w:r>
      <w:r w:rsidR="002211AD" w:rsidRPr="0084174A">
        <w:rPr>
          <w:rFonts w:ascii="Calibri" w:hAnsi="Calibri"/>
          <w:sz w:val="23"/>
          <w:szCs w:val="23"/>
        </w:rPr>
        <w:t>atenta</w:t>
      </w:r>
      <w:r w:rsidR="006C229C" w:rsidRPr="0084174A">
        <w:rPr>
          <w:rFonts w:ascii="Calibri" w:hAnsi="Calibri"/>
          <w:sz w:val="23"/>
          <w:szCs w:val="23"/>
        </w:rPr>
        <w:t>m</w:t>
      </w:r>
      <w:r w:rsidR="002211AD" w:rsidRPr="0084174A">
        <w:rPr>
          <w:rFonts w:ascii="Calibri" w:hAnsi="Calibri"/>
          <w:sz w:val="23"/>
          <w:szCs w:val="23"/>
        </w:rPr>
        <w:t xml:space="preserve"> contra </w:t>
      </w:r>
      <w:r w:rsidRPr="0084174A">
        <w:rPr>
          <w:rFonts w:ascii="Calibri" w:hAnsi="Calibri"/>
          <w:sz w:val="23"/>
          <w:szCs w:val="23"/>
        </w:rPr>
        <w:t>o princípio de que a vida humana tem sempre a mesma dignidade, em todas as suas fases e independentemente das condições externas que a rodeiam. A dignidade da vida humana deixa de ser uma qualidade intrínseca, passa a variar em grau e a depender de alguma dessas condições externas. Haveria, pois, situações em que a vida já não merece proteção (a proteção que merece na generalidade das situações), por perder dignidade.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8. Invocam os partidários da legalização da eutanásia e do suicídio assistido que, com essa legalização, se respeita, apenas, a vontade e as conceções sobre o sentido da vida e da morte, de quem solicita tais pedidos, sem tomar partido. Mas não é assim. O Estado e a ordem jurídica, ao autorizarem tal prática, estão a tomar partido, estão a confirmar que a vida permeada pelo sofrimento, ou em situações de total dependência dos outros, deixa de ter sentido e perde dignidade, pois só nessa</w:t>
      </w:r>
      <w:r w:rsidR="00111593" w:rsidRPr="0084174A">
        <w:rPr>
          <w:rFonts w:ascii="Calibri" w:hAnsi="Calibri"/>
          <w:sz w:val="23"/>
          <w:szCs w:val="23"/>
        </w:rPr>
        <w:t>s</w:t>
      </w:r>
      <w:r w:rsidRPr="0084174A">
        <w:rPr>
          <w:rFonts w:ascii="Calibri" w:hAnsi="Calibri"/>
          <w:sz w:val="23"/>
          <w:szCs w:val="23"/>
        </w:rPr>
        <w:t xml:space="preserve"> situações seria lícito suprimi-la.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Quando um doente pede para morrer porque acha que a sua vida não tem sentido ou</w:t>
      </w:r>
      <w:r w:rsidR="006C229C" w:rsidRPr="0084174A">
        <w:rPr>
          <w:rFonts w:ascii="Calibri" w:hAnsi="Calibri"/>
          <w:sz w:val="23"/>
          <w:szCs w:val="23"/>
        </w:rPr>
        <w:t xml:space="preserve"> </w:t>
      </w:r>
      <w:r w:rsidRPr="0084174A">
        <w:rPr>
          <w:rFonts w:ascii="Calibri" w:hAnsi="Calibri"/>
          <w:sz w:val="23"/>
          <w:szCs w:val="23"/>
        </w:rPr>
        <w:t xml:space="preserve">perdeu dignidade, </w:t>
      </w:r>
      <w:r w:rsidR="006A20E4" w:rsidRPr="0084174A">
        <w:rPr>
          <w:rFonts w:ascii="Calibri" w:hAnsi="Calibri"/>
          <w:sz w:val="23"/>
          <w:szCs w:val="23"/>
        </w:rPr>
        <w:t xml:space="preserve">ou </w:t>
      </w:r>
      <w:r w:rsidRPr="0084174A">
        <w:rPr>
          <w:rFonts w:ascii="Calibri" w:hAnsi="Calibri"/>
          <w:sz w:val="23"/>
          <w:szCs w:val="23"/>
        </w:rPr>
        <w:t>porque lhe parece que é um peso para os outros, a resposta que os serviços de saúde, a sociedade e o Estado devem dar a esse pedido não é: «</w:t>
      </w:r>
      <w:r w:rsidRPr="0084174A">
        <w:rPr>
          <w:rFonts w:ascii="Calibri" w:hAnsi="Calibri"/>
          <w:i/>
          <w:sz w:val="23"/>
          <w:szCs w:val="23"/>
        </w:rPr>
        <w:t>Sim, a tua vida não tem sentido, a tua vida perdeu dignidade, és um peso para os outros</w:t>
      </w:r>
      <w:r w:rsidRPr="0084174A">
        <w:rPr>
          <w:rFonts w:ascii="Calibri" w:hAnsi="Calibri"/>
          <w:sz w:val="23"/>
          <w:szCs w:val="23"/>
        </w:rPr>
        <w:t>».</w:t>
      </w:r>
      <w:r w:rsidR="006C229C" w:rsidRPr="0084174A">
        <w:rPr>
          <w:rFonts w:ascii="Calibri" w:hAnsi="Calibri"/>
          <w:sz w:val="23"/>
          <w:szCs w:val="23"/>
        </w:rPr>
        <w:t xml:space="preserve"> </w:t>
      </w:r>
      <w:r w:rsidRPr="0084174A">
        <w:rPr>
          <w:rFonts w:ascii="Calibri" w:hAnsi="Calibri"/>
          <w:sz w:val="23"/>
          <w:szCs w:val="23"/>
        </w:rPr>
        <w:t>Mas a resposta deve ser outra: «</w:t>
      </w:r>
      <w:r w:rsidRPr="0084174A">
        <w:rPr>
          <w:rFonts w:ascii="Calibri" w:hAnsi="Calibri"/>
          <w:i/>
          <w:sz w:val="23"/>
          <w:szCs w:val="23"/>
        </w:rPr>
        <w:t>Não, a tua vida não perdeu sentido, não perdeu dignidade, tem valor até ao fim, tu não és peso para os outros, continuas a ter valor incomensurável para todos nós</w:t>
      </w:r>
      <w:r w:rsidRPr="0084174A">
        <w:rPr>
          <w:rFonts w:ascii="Calibri" w:hAnsi="Calibri"/>
          <w:sz w:val="23"/>
          <w:szCs w:val="23"/>
        </w:rPr>
        <w:t>». Esta é a resposta de quem coloca todas as suas energias ao serviço dos doentes mais vulneráveis e sofredores e, por isso, mais carecidos de amor e cuidado; a primeira é a atitude simplista e anti-humana de quem não pretende implicar-se na questão do sentido da verdadeira «qualidade de vida» do próximo e embarca na solução fácil da eutanásia ou do suicídio assistido.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9. Não se elimina o sofrimento com a morte: com a morte elimina-se a vida da pessoa que sofre. O sofrimento pode ser eliminado ou debelado com os cuidados paliativos, não com a morte. E hoje, as técnicas analgésicas conseguem preservar de um sofrimento físico </w:t>
      </w:r>
      <w:r w:rsidR="006C229C" w:rsidRPr="0084174A">
        <w:rPr>
          <w:rFonts w:ascii="Calibri" w:hAnsi="Calibri"/>
          <w:sz w:val="23"/>
          <w:szCs w:val="23"/>
        </w:rPr>
        <w:t>intolerável</w:t>
      </w:r>
      <w:r w:rsidRPr="0084174A">
        <w:rPr>
          <w:rFonts w:ascii="Calibri" w:hAnsi="Calibri"/>
          <w:sz w:val="23"/>
          <w:szCs w:val="23"/>
        </w:rPr>
        <w:t xml:space="preserve">. Desta forma, pode </w:t>
      </w:r>
      <w:r w:rsidRPr="0084174A">
        <w:rPr>
          <w:rFonts w:ascii="Calibri" w:hAnsi="Calibri"/>
          <w:sz w:val="23"/>
          <w:szCs w:val="23"/>
        </w:rPr>
        <w:lastRenderedPageBreak/>
        <w:t xml:space="preserve">afirmar-se que a eutanásia é uma forma fácil e ilusória de encarar o sofrimento, o qual só se enfrenta verdadeiramente através da medicina paliativa e do amor concreto para com quem sofre. </w:t>
      </w:r>
    </w:p>
    <w:p w:rsidR="006C229C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Como afirma Bento XVI, «a grandeza da humanidade determina-s</w:t>
      </w:r>
      <w:r w:rsidR="006A20E4" w:rsidRPr="0084174A">
        <w:rPr>
          <w:rFonts w:ascii="Calibri" w:hAnsi="Calibri"/>
          <w:sz w:val="23"/>
          <w:szCs w:val="23"/>
        </w:rPr>
        <w:t>e essencialmente na relação com</w:t>
      </w:r>
      <w:r w:rsidRPr="0084174A">
        <w:rPr>
          <w:rFonts w:ascii="Calibri" w:hAnsi="Calibri"/>
          <w:sz w:val="23"/>
          <w:szCs w:val="23"/>
        </w:rPr>
        <w:t xml:space="preserve"> o sofrimento e com quem sofre»</w:t>
      </w:r>
      <w:r w:rsidRPr="0084174A">
        <w:rPr>
          <w:rStyle w:val="Refdenotaderodap"/>
          <w:rFonts w:ascii="Calibri" w:hAnsi="Calibri"/>
          <w:sz w:val="23"/>
          <w:szCs w:val="23"/>
        </w:rPr>
        <w:footnoteReference w:id="7"/>
      </w:r>
      <w:r w:rsidRPr="0084174A">
        <w:rPr>
          <w:rFonts w:ascii="Calibri" w:hAnsi="Calibri"/>
          <w:sz w:val="23"/>
          <w:szCs w:val="23"/>
        </w:rPr>
        <w:t>.</w:t>
      </w:r>
    </w:p>
    <w:p w:rsidR="00104DBB" w:rsidRPr="0084174A" w:rsidRDefault="006C229C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Para além do círculo afe</w:t>
      </w:r>
      <w:r w:rsidR="00104DBB" w:rsidRPr="0084174A">
        <w:rPr>
          <w:rFonts w:ascii="Calibri" w:hAnsi="Calibri"/>
          <w:sz w:val="23"/>
          <w:szCs w:val="23"/>
        </w:rPr>
        <w:t>tivo dos seus familiares e amigos, a dignidade de quem sofre reclama o cuidado médic</w:t>
      </w:r>
      <w:r w:rsidRPr="0084174A">
        <w:rPr>
          <w:rFonts w:ascii="Calibri" w:hAnsi="Calibri"/>
          <w:sz w:val="23"/>
          <w:szCs w:val="23"/>
        </w:rPr>
        <w:t>o proporcionado, mesmo que os a</w:t>
      </w:r>
      <w:r w:rsidR="00104DBB" w:rsidRPr="0084174A">
        <w:rPr>
          <w:rFonts w:ascii="Calibri" w:hAnsi="Calibri"/>
          <w:sz w:val="23"/>
          <w:szCs w:val="23"/>
        </w:rPr>
        <w:t xml:space="preserve">tos terapêuticos e os analgésicos possam, pelo efeito secundário inerente a muitos deles, contribuir para algum encurtamento da vida. Neste caso, não se </w:t>
      </w:r>
      <w:r w:rsidRPr="0084174A">
        <w:rPr>
          <w:rFonts w:ascii="Calibri" w:hAnsi="Calibri"/>
          <w:sz w:val="23"/>
          <w:szCs w:val="23"/>
        </w:rPr>
        <w:t>trata de eutanásia, pois o obje</w:t>
      </w:r>
      <w:r w:rsidR="00104DBB" w:rsidRPr="0084174A">
        <w:rPr>
          <w:rFonts w:ascii="Calibri" w:hAnsi="Calibri"/>
          <w:sz w:val="23"/>
          <w:szCs w:val="23"/>
        </w:rPr>
        <w:t>tivo não é dar a morte, mas preservar a dignidade humana e a «santidade de vida», minimizando o sofrimento e criando as condições para a «qualidade de vida» possível.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10. A mensagem que, através da legalização da eutanásia e do suicídio assistido, assim se veicula tem graves implicações sociais, que vão para além de cada situação individual. Esta mensagem não pode deixar de ter efeitos no modo como toda a sociedade passará a encarar a doença e o sofrimento</w:t>
      </w:r>
      <w:r w:rsidR="00B74625" w:rsidRPr="0084174A">
        <w:rPr>
          <w:rFonts w:ascii="Calibri" w:hAnsi="Calibri"/>
          <w:sz w:val="23"/>
          <w:szCs w:val="23"/>
        </w:rPr>
        <w:t>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Há o sério risco de que </w:t>
      </w:r>
      <w:r w:rsidR="00BA5F82" w:rsidRPr="0084174A">
        <w:rPr>
          <w:rFonts w:ascii="Calibri" w:hAnsi="Calibri"/>
          <w:sz w:val="23"/>
          <w:szCs w:val="23"/>
        </w:rPr>
        <w:t xml:space="preserve">a morte </w:t>
      </w:r>
      <w:r w:rsidRPr="0084174A">
        <w:rPr>
          <w:rFonts w:ascii="Calibri" w:hAnsi="Calibri"/>
          <w:sz w:val="23"/>
          <w:szCs w:val="23"/>
        </w:rPr>
        <w:t xml:space="preserve">passe a ser encarada como resposta a estas situações, já que a solução não passaria por um esforço solidário de combate à doença e ao sofrimento, mas pela supressão da vida da pessoa doente e sofredora, pretensamente diminuída na sua dignidade. E é mais fácil e mais barato. Mas não é humano! Neste novo contexto cultural, o amor e </w:t>
      </w:r>
      <w:r w:rsidR="005914D1" w:rsidRPr="0084174A">
        <w:rPr>
          <w:rFonts w:ascii="Calibri" w:hAnsi="Calibri"/>
          <w:sz w:val="23"/>
          <w:szCs w:val="23"/>
        </w:rPr>
        <w:t xml:space="preserve">a </w:t>
      </w:r>
      <w:r w:rsidRPr="0084174A">
        <w:rPr>
          <w:rFonts w:ascii="Calibri" w:hAnsi="Calibri"/>
          <w:sz w:val="23"/>
          <w:szCs w:val="23"/>
        </w:rPr>
        <w:t>solidariedade para com os doentes deixarão de ser tão encorajados, como já têm alertado associações de pessoas que sofrem das doenças em questão e que se sentem, obviamente, ofendidas quando v</w:t>
      </w:r>
      <w:r w:rsidR="005914D1" w:rsidRPr="0084174A">
        <w:rPr>
          <w:rFonts w:ascii="Calibri" w:hAnsi="Calibri"/>
          <w:sz w:val="23"/>
          <w:szCs w:val="23"/>
        </w:rPr>
        <w:t>ee</w:t>
      </w:r>
      <w:r w:rsidRPr="0084174A">
        <w:rPr>
          <w:rFonts w:ascii="Calibri" w:hAnsi="Calibri"/>
          <w:sz w:val="23"/>
          <w:szCs w:val="23"/>
        </w:rPr>
        <w:t>m que a morte é apresentada como “solução” para os seus problemas. E também é natural que haja doentes, de modo particular os mais pobres e débeis, que se sintam socialmente pressionados a requerer a eutanásia, porque se sentem “a mais” ou “um peso”.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É este, sem dúvida</w:t>
      </w:r>
      <w:r w:rsidR="00DB7317" w:rsidRPr="0084174A">
        <w:rPr>
          <w:rFonts w:ascii="Calibri" w:hAnsi="Calibri"/>
          <w:sz w:val="23"/>
          <w:szCs w:val="23"/>
        </w:rPr>
        <w:t>,</w:t>
      </w:r>
      <w:r w:rsidRPr="0084174A">
        <w:rPr>
          <w:rFonts w:ascii="Calibri" w:hAnsi="Calibri"/>
          <w:sz w:val="23"/>
          <w:szCs w:val="23"/>
        </w:rPr>
        <w:t xml:space="preserve"> um perigo agravado num contexto de envelhecimento da população e de restrições financeiras dos serviços de saúde que implícita ou explicitamente se podem questionar</w:t>
      </w:r>
      <w:r w:rsidR="006C229C" w:rsidRPr="0084174A">
        <w:rPr>
          <w:rFonts w:ascii="Calibri" w:hAnsi="Calibri"/>
          <w:sz w:val="23"/>
          <w:szCs w:val="23"/>
        </w:rPr>
        <w:t xml:space="preserve">: </w:t>
      </w:r>
      <w:r w:rsidRPr="0084174A">
        <w:rPr>
          <w:rFonts w:ascii="Calibri" w:hAnsi="Calibri"/>
          <w:sz w:val="23"/>
          <w:szCs w:val="23"/>
        </w:rPr>
        <w:t>para quê gastar tantos recursos com doentes terminais quando as suas vidas podem ser encurtadas?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11. Não podemos ignorar que, entre nós, uma grande parte dos doentes, especialmente os mais pobres</w:t>
      </w:r>
      <w:r w:rsidR="00B74625" w:rsidRPr="0084174A">
        <w:rPr>
          <w:rFonts w:ascii="Calibri" w:hAnsi="Calibri"/>
          <w:sz w:val="23"/>
          <w:szCs w:val="23"/>
        </w:rPr>
        <w:t xml:space="preserve"> e isolados</w:t>
      </w:r>
      <w:r w:rsidRPr="0084174A">
        <w:rPr>
          <w:rFonts w:ascii="Calibri" w:hAnsi="Calibri"/>
          <w:sz w:val="23"/>
          <w:szCs w:val="23"/>
        </w:rPr>
        <w:t>, não tem acesso aos cuidados paliativos, que são a verdadeira resposta ao seu sofrimento.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A legalização da eutanásia e do suicídio assistido contribuirá para atenuar a consciência social da importância e urgência de alterar esta situação, porque poderá ser vista como uma alternativa mais fácil e económica.</w:t>
      </w:r>
      <w:r w:rsidR="00111593" w:rsidRPr="0084174A">
        <w:rPr>
          <w:rFonts w:ascii="Calibri" w:hAnsi="Calibri"/>
          <w:sz w:val="23"/>
          <w:szCs w:val="23"/>
        </w:rPr>
        <w:t xml:space="preserve"> 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 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12. Com esta </w:t>
      </w:r>
      <w:r w:rsidR="006C229C" w:rsidRPr="0084174A">
        <w:rPr>
          <w:rFonts w:ascii="Calibri" w:hAnsi="Calibri"/>
          <w:sz w:val="23"/>
          <w:szCs w:val="23"/>
        </w:rPr>
        <w:t>N</w:t>
      </w:r>
      <w:r w:rsidRPr="0084174A">
        <w:rPr>
          <w:rFonts w:ascii="Calibri" w:hAnsi="Calibri"/>
          <w:sz w:val="23"/>
          <w:szCs w:val="23"/>
        </w:rPr>
        <w:t>ota</w:t>
      </w:r>
      <w:r w:rsidR="006C229C" w:rsidRPr="0084174A">
        <w:rPr>
          <w:rFonts w:ascii="Calibri" w:hAnsi="Calibri"/>
          <w:sz w:val="23"/>
          <w:szCs w:val="23"/>
        </w:rPr>
        <w:t xml:space="preserve"> Pastoral</w:t>
      </w:r>
      <w:r w:rsidRPr="0084174A">
        <w:rPr>
          <w:rFonts w:ascii="Calibri" w:hAnsi="Calibri"/>
          <w:sz w:val="23"/>
          <w:szCs w:val="23"/>
        </w:rPr>
        <w:t xml:space="preserve">, apelamos à consciência dos nossos legisladores. 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 xml:space="preserve">Mas também sabemos que uma grande percentagem dos nossos concidadãos afirma aprovar a legalização da eutanásia e do suicídio assistido. Estamos convictos de que </w:t>
      </w:r>
      <w:r w:rsidR="00F633BE" w:rsidRPr="0084174A">
        <w:rPr>
          <w:rFonts w:ascii="Calibri" w:hAnsi="Calibri"/>
          <w:sz w:val="23"/>
          <w:szCs w:val="23"/>
        </w:rPr>
        <w:t xml:space="preserve">muitos </w:t>
      </w:r>
      <w:r w:rsidRPr="0084174A">
        <w:rPr>
          <w:rFonts w:ascii="Calibri" w:hAnsi="Calibri"/>
          <w:sz w:val="23"/>
          <w:szCs w:val="23"/>
        </w:rPr>
        <w:t>o faz</w:t>
      </w:r>
      <w:r w:rsidR="00F633BE" w:rsidRPr="0084174A">
        <w:rPr>
          <w:rFonts w:ascii="Calibri" w:hAnsi="Calibri"/>
          <w:sz w:val="23"/>
          <w:szCs w:val="23"/>
        </w:rPr>
        <w:t>em</w:t>
      </w:r>
      <w:r w:rsidRPr="0084174A">
        <w:rPr>
          <w:rFonts w:ascii="Calibri" w:hAnsi="Calibri"/>
          <w:sz w:val="23"/>
          <w:szCs w:val="23"/>
        </w:rPr>
        <w:t xml:space="preserve"> sem a consciência clara do que está verdadeiramente em causa. Daí a importância de um vasto trabalho de esclarecimento para o qual</w:t>
      </w:r>
      <w:r w:rsidR="006C229C" w:rsidRPr="0084174A">
        <w:rPr>
          <w:rFonts w:ascii="Calibri" w:hAnsi="Calibri"/>
          <w:sz w:val="23"/>
          <w:szCs w:val="23"/>
        </w:rPr>
        <w:t xml:space="preserve"> </w:t>
      </w:r>
      <w:r w:rsidRPr="0084174A">
        <w:rPr>
          <w:rFonts w:ascii="Calibri" w:hAnsi="Calibri"/>
          <w:sz w:val="23"/>
          <w:szCs w:val="23"/>
        </w:rPr>
        <w:t>queremos dar o nosso contributo.</w:t>
      </w:r>
    </w:p>
    <w:p w:rsidR="00104DBB" w:rsidRPr="0084174A" w:rsidRDefault="00104DBB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No Ano Jubilar da Misericórdia, recordamos que esta nos leva a ajudar a viver até ao fim. Não</w:t>
      </w:r>
      <w:r w:rsidR="006C229C" w:rsidRPr="0084174A">
        <w:rPr>
          <w:rFonts w:ascii="Calibri" w:hAnsi="Calibri"/>
          <w:sz w:val="23"/>
          <w:szCs w:val="23"/>
        </w:rPr>
        <w:t xml:space="preserve"> a matar ou a ajudar a morrer.</w:t>
      </w:r>
    </w:p>
    <w:p w:rsidR="006C229C" w:rsidRPr="0084174A" w:rsidRDefault="006C229C" w:rsidP="00E32D65">
      <w:pPr>
        <w:jc w:val="both"/>
        <w:rPr>
          <w:rFonts w:ascii="Calibri" w:hAnsi="Calibri"/>
          <w:sz w:val="23"/>
          <w:szCs w:val="23"/>
        </w:rPr>
      </w:pPr>
    </w:p>
    <w:p w:rsidR="006C229C" w:rsidRPr="0084174A" w:rsidRDefault="006C229C" w:rsidP="00E32D65">
      <w:pPr>
        <w:jc w:val="both"/>
        <w:rPr>
          <w:rFonts w:ascii="Calibri" w:hAnsi="Calibri"/>
          <w:sz w:val="23"/>
          <w:szCs w:val="23"/>
        </w:rPr>
      </w:pPr>
      <w:r w:rsidRPr="0084174A">
        <w:rPr>
          <w:rFonts w:ascii="Calibri" w:hAnsi="Calibri"/>
          <w:sz w:val="23"/>
          <w:szCs w:val="23"/>
        </w:rPr>
        <w:t>Fátima, 8 de março de 2016</w:t>
      </w:r>
    </w:p>
    <w:p w:rsidR="005914D1" w:rsidRPr="0084174A" w:rsidRDefault="005914D1" w:rsidP="00E32D65">
      <w:pPr>
        <w:jc w:val="both"/>
        <w:rPr>
          <w:rFonts w:ascii="Calibri" w:hAnsi="Calibri"/>
          <w:sz w:val="23"/>
          <w:szCs w:val="23"/>
        </w:rPr>
      </w:pPr>
    </w:p>
    <w:sectPr w:rsidR="005914D1" w:rsidRPr="0084174A" w:rsidSect="00841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6F4" w:rsidRDefault="007776F4">
      <w:r>
        <w:separator/>
      </w:r>
    </w:p>
  </w:endnote>
  <w:endnote w:type="continuationSeparator" w:id="1">
    <w:p w:rsidR="007776F4" w:rsidRDefault="00777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21B" w:rsidRDefault="0083221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DBB" w:rsidRPr="009F180E" w:rsidRDefault="00CB6483" w:rsidP="000D2394">
    <w:pPr>
      <w:pStyle w:val="Rodap"/>
      <w:jc w:val="right"/>
      <w:rPr>
        <w:rFonts w:ascii="Calibri" w:hAnsi="Calibri"/>
      </w:rPr>
    </w:pPr>
    <w:r w:rsidRPr="009F180E">
      <w:rPr>
        <w:rFonts w:ascii="Calibri" w:hAnsi="Calibri"/>
      </w:rPr>
      <w:fldChar w:fldCharType="begin"/>
    </w:r>
    <w:r w:rsidR="00104DBB" w:rsidRPr="009F180E">
      <w:rPr>
        <w:rFonts w:ascii="Calibri" w:hAnsi="Calibri"/>
      </w:rPr>
      <w:instrText xml:space="preserve"> PAGE   \* MERGEFORMAT </w:instrText>
    </w:r>
    <w:r w:rsidRPr="009F180E">
      <w:rPr>
        <w:rFonts w:ascii="Calibri" w:hAnsi="Calibri"/>
      </w:rPr>
      <w:fldChar w:fldCharType="separate"/>
    </w:r>
    <w:r w:rsidR="0084174A">
      <w:rPr>
        <w:rFonts w:ascii="Calibri" w:hAnsi="Calibri"/>
        <w:noProof/>
      </w:rPr>
      <w:t>3</w:t>
    </w:r>
    <w:r w:rsidRPr="009F180E">
      <w:rPr>
        <w:rFonts w:ascii="Calibri" w:hAnsi="Calibr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21B" w:rsidRDefault="0083221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6F4" w:rsidRDefault="007776F4">
      <w:r>
        <w:separator/>
      </w:r>
    </w:p>
  </w:footnote>
  <w:footnote w:type="continuationSeparator" w:id="1">
    <w:p w:rsidR="007776F4" w:rsidRDefault="007776F4">
      <w:r>
        <w:continuationSeparator/>
      </w:r>
    </w:p>
  </w:footnote>
  <w:footnote w:id="2">
    <w:p w:rsidR="0024023E" w:rsidRPr="006A20E4" w:rsidRDefault="0024023E" w:rsidP="00C1212C">
      <w:pPr>
        <w:pStyle w:val="Textodenotaderodap"/>
        <w:jc w:val="both"/>
        <w:rPr>
          <w:rFonts w:asciiTheme="minorHAnsi" w:hAnsiTheme="minorHAnsi"/>
        </w:rPr>
      </w:pPr>
      <w:r w:rsidRPr="006A20E4">
        <w:rPr>
          <w:rStyle w:val="Refdenotaderodap"/>
          <w:rFonts w:asciiTheme="minorHAnsi" w:hAnsiTheme="minorHAnsi"/>
        </w:rPr>
        <w:footnoteRef/>
      </w:r>
      <w:r w:rsidRPr="006A20E4">
        <w:rPr>
          <w:rFonts w:asciiTheme="minorHAnsi" w:hAnsiTheme="minorHAnsi"/>
        </w:rPr>
        <w:t xml:space="preserve"> Sugerimos também a leitura da Nota Pastoral </w:t>
      </w:r>
      <w:r w:rsidR="005914D1" w:rsidRPr="006A20E4">
        <w:rPr>
          <w:rFonts w:asciiTheme="minorHAnsi" w:hAnsiTheme="minorHAnsi"/>
        </w:rPr>
        <w:t>da Conferência Episcopal Portuguesa,</w:t>
      </w:r>
      <w:r w:rsidR="005914D1" w:rsidRPr="006A20E4">
        <w:rPr>
          <w:rFonts w:asciiTheme="minorHAnsi" w:hAnsiTheme="minorHAnsi"/>
          <w:i/>
        </w:rPr>
        <w:t xml:space="preserve"> </w:t>
      </w:r>
      <w:r w:rsidRPr="006A20E4">
        <w:rPr>
          <w:rFonts w:asciiTheme="minorHAnsi" w:hAnsiTheme="minorHAnsi"/>
          <w:i/>
        </w:rPr>
        <w:t>«Cuidar da Vida até à Morte». Contributo para a reflexão ética sobre o morrer</w:t>
      </w:r>
      <w:r w:rsidRPr="006A20E4">
        <w:rPr>
          <w:rFonts w:asciiTheme="minorHAnsi" w:hAnsiTheme="minorHAnsi"/>
        </w:rPr>
        <w:t>, publicada a 12 de novembro de 2009</w:t>
      </w:r>
      <w:r w:rsidR="005914D1" w:rsidRPr="006A20E4">
        <w:rPr>
          <w:rFonts w:asciiTheme="minorHAnsi" w:hAnsiTheme="minorHAnsi"/>
        </w:rPr>
        <w:t xml:space="preserve">, in </w:t>
      </w:r>
      <w:r w:rsidRPr="006A20E4">
        <w:rPr>
          <w:rFonts w:asciiTheme="minorHAnsi" w:hAnsiTheme="minorHAnsi"/>
          <w:i/>
        </w:rPr>
        <w:t>Documentos Pastorais</w:t>
      </w:r>
      <w:r w:rsidRPr="006A20E4">
        <w:rPr>
          <w:rFonts w:asciiTheme="minorHAnsi" w:hAnsiTheme="minorHAnsi"/>
        </w:rPr>
        <w:t>, vol. VII, Lisboa 2002, 123-131.</w:t>
      </w:r>
    </w:p>
  </w:footnote>
  <w:footnote w:id="3">
    <w:p w:rsidR="00104DBB" w:rsidRPr="00741487" w:rsidRDefault="00104DBB" w:rsidP="00C1212C">
      <w:pPr>
        <w:pStyle w:val="Textodenotaderodap"/>
        <w:jc w:val="both"/>
        <w:rPr>
          <w:rFonts w:asciiTheme="minorHAnsi" w:hAnsiTheme="minorHAnsi"/>
        </w:rPr>
      </w:pPr>
      <w:r w:rsidRPr="006A20E4">
        <w:rPr>
          <w:rStyle w:val="Refdenotaderodap"/>
          <w:rFonts w:asciiTheme="minorHAnsi" w:hAnsiTheme="minorHAnsi"/>
        </w:rPr>
        <w:footnoteRef/>
      </w:r>
      <w:r w:rsidR="002211AD" w:rsidRPr="006A20E4">
        <w:rPr>
          <w:rFonts w:asciiTheme="minorHAnsi" w:hAnsiTheme="minorHAnsi"/>
        </w:rPr>
        <w:t xml:space="preserve"> João Paulo II, Carta encíclica</w:t>
      </w:r>
      <w:r w:rsidRPr="00741487">
        <w:rPr>
          <w:rFonts w:asciiTheme="minorHAnsi" w:hAnsiTheme="minorHAnsi"/>
        </w:rPr>
        <w:t xml:space="preserve"> </w:t>
      </w:r>
      <w:r w:rsidRPr="00741487">
        <w:rPr>
          <w:rFonts w:asciiTheme="minorHAnsi" w:hAnsiTheme="minorHAnsi"/>
          <w:i/>
        </w:rPr>
        <w:t xml:space="preserve">Evangelium Vitae </w:t>
      </w:r>
      <w:r w:rsidRPr="00741487">
        <w:rPr>
          <w:rFonts w:asciiTheme="minorHAnsi" w:hAnsiTheme="minorHAnsi"/>
        </w:rPr>
        <w:t xml:space="preserve">(25 de março de 1995), n. 65. </w:t>
      </w:r>
    </w:p>
  </w:footnote>
  <w:footnote w:id="4">
    <w:p w:rsidR="00104DBB" w:rsidRPr="00741487" w:rsidRDefault="00104DBB" w:rsidP="00C1212C">
      <w:pPr>
        <w:pStyle w:val="Textodenotaderodap"/>
        <w:jc w:val="both"/>
        <w:rPr>
          <w:rFonts w:asciiTheme="minorHAnsi" w:hAnsiTheme="minorHAnsi"/>
        </w:rPr>
      </w:pPr>
      <w:r w:rsidRPr="00741487">
        <w:rPr>
          <w:rStyle w:val="Refdenotaderodap"/>
          <w:rFonts w:asciiTheme="minorHAnsi" w:hAnsiTheme="minorHAnsi"/>
        </w:rPr>
        <w:footnoteRef/>
      </w:r>
      <w:r w:rsidRPr="00741487">
        <w:rPr>
          <w:rFonts w:asciiTheme="minorHAnsi" w:hAnsiTheme="minorHAnsi"/>
        </w:rPr>
        <w:t xml:space="preserve"> Também design</w:t>
      </w:r>
      <w:r w:rsidR="002211AD" w:rsidRPr="00741487">
        <w:rPr>
          <w:rFonts w:asciiTheme="minorHAnsi" w:hAnsiTheme="minorHAnsi"/>
        </w:rPr>
        <w:t>ada por “encarniçamento médico”</w:t>
      </w:r>
      <w:r w:rsidRPr="00741487">
        <w:rPr>
          <w:rFonts w:asciiTheme="minorHAnsi" w:hAnsiTheme="minorHAnsi"/>
        </w:rPr>
        <w:t>.</w:t>
      </w:r>
    </w:p>
  </w:footnote>
  <w:footnote w:id="5">
    <w:p w:rsidR="00104DBB" w:rsidRPr="00741487" w:rsidRDefault="00104DBB" w:rsidP="00C1212C">
      <w:pPr>
        <w:pStyle w:val="Textodenotaderodap"/>
        <w:jc w:val="both"/>
        <w:rPr>
          <w:rFonts w:asciiTheme="minorHAnsi" w:hAnsiTheme="minorHAnsi"/>
        </w:rPr>
      </w:pPr>
      <w:r w:rsidRPr="00741487">
        <w:rPr>
          <w:rStyle w:val="Refdenotaderodap"/>
          <w:rFonts w:asciiTheme="minorHAnsi" w:hAnsiTheme="minorHAnsi"/>
        </w:rPr>
        <w:footnoteRef/>
      </w:r>
      <w:r w:rsidRPr="00741487">
        <w:rPr>
          <w:rFonts w:asciiTheme="minorHAnsi" w:hAnsiTheme="minorHAnsi"/>
        </w:rPr>
        <w:t xml:space="preserve"> João Paulo II, Carta</w:t>
      </w:r>
      <w:r w:rsidR="002211AD" w:rsidRPr="00741487">
        <w:rPr>
          <w:rFonts w:asciiTheme="minorHAnsi" w:hAnsiTheme="minorHAnsi"/>
        </w:rPr>
        <w:t xml:space="preserve"> encíclica</w:t>
      </w:r>
      <w:r w:rsidRPr="00741487">
        <w:rPr>
          <w:rFonts w:asciiTheme="minorHAnsi" w:hAnsiTheme="minorHAnsi"/>
        </w:rPr>
        <w:t xml:space="preserve"> </w:t>
      </w:r>
      <w:r w:rsidRPr="00741487">
        <w:rPr>
          <w:rFonts w:asciiTheme="minorHAnsi" w:hAnsiTheme="minorHAnsi"/>
          <w:i/>
        </w:rPr>
        <w:t xml:space="preserve">Evangelium Vitae </w:t>
      </w:r>
      <w:r w:rsidRPr="00741487">
        <w:rPr>
          <w:rFonts w:asciiTheme="minorHAnsi" w:hAnsiTheme="minorHAnsi"/>
        </w:rPr>
        <w:t>(25 de março de 1995), n. 65.</w:t>
      </w:r>
    </w:p>
  </w:footnote>
  <w:footnote w:id="6">
    <w:p w:rsidR="00104DBB" w:rsidRPr="00741487" w:rsidRDefault="00104DBB" w:rsidP="00C1212C">
      <w:pPr>
        <w:pStyle w:val="Textodenotaderodap"/>
        <w:jc w:val="both"/>
        <w:rPr>
          <w:rFonts w:asciiTheme="minorHAnsi" w:hAnsiTheme="minorHAnsi"/>
        </w:rPr>
      </w:pPr>
      <w:r w:rsidRPr="00741487">
        <w:rPr>
          <w:rStyle w:val="Refdenotaderodap"/>
          <w:rFonts w:asciiTheme="minorHAnsi" w:hAnsiTheme="minorHAnsi"/>
        </w:rPr>
        <w:footnoteRef/>
      </w:r>
      <w:r w:rsidRPr="00741487">
        <w:rPr>
          <w:rFonts w:asciiTheme="minorHAnsi" w:hAnsiTheme="minorHAnsi"/>
        </w:rPr>
        <w:t xml:space="preserve"> </w:t>
      </w:r>
      <w:r w:rsidRPr="00741487">
        <w:rPr>
          <w:rFonts w:asciiTheme="minorHAnsi" w:hAnsiTheme="minorHAnsi"/>
          <w:i/>
        </w:rPr>
        <w:t>Ibidem</w:t>
      </w:r>
      <w:r w:rsidRPr="00741487">
        <w:rPr>
          <w:rFonts w:asciiTheme="minorHAnsi" w:hAnsiTheme="minorHAnsi"/>
        </w:rPr>
        <w:t>.</w:t>
      </w:r>
    </w:p>
  </w:footnote>
  <w:footnote w:id="7">
    <w:p w:rsidR="00104DBB" w:rsidRPr="00741487" w:rsidRDefault="00104DBB" w:rsidP="00C1212C">
      <w:pPr>
        <w:pStyle w:val="Textodenotaderodap"/>
        <w:jc w:val="both"/>
        <w:rPr>
          <w:rFonts w:asciiTheme="minorHAnsi" w:hAnsiTheme="minorHAnsi"/>
        </w:rPr>
      </w:pPr>
      <w:r w:rsidRPr="00741487">
        <w:rPr>
          <w:rStyle w:val="Refdenotaderodap"/>
          <w:rFonts w:asciiTheme="minorHAnsi" w:hAnsiTheme="minorHAnsi"/>
        </w:rPr>
        <w:footnoteRef/>
      </w:r>
      <w:r w:rsidRPr="00741487">
        <w:rPr>
          <w:rFonts w:asciiTheme="minorHAnsi" w:hAnsiTheme="minorHAnsi"/>
        </w:rPr>
        <w:t xml:space="preserve"> Carta enc</w:t>
      </w:r>
      <w:r w:rsidR="006C229C" w:rsidRPr="00741487">
        <w:rPr>
          <w:rFonts w:asciiTheme="minorHAnsi" w:hAnsiTheme="minorHAnsi"/>
        </w:rPr>
        <w:t>íclica</w:t>
      </w:r>
      <w:r w:rsidRPr="00741487">
        <w:rPr>
          <w:rFonts w:asciiTheme="minorHAnsi" w:hAnsiTheme="minorHAnsi"/>
        </w:rPr>
        <w:t xml:space="preserve"> </w:t>
      </w:r>
      <w:r w:rsidRPr="00741487">
        <w:rPr>
          <w:rFonts w:asciiTheme="minorHAnsi" w:hAnsiTheme="minorHAnsi"/>
          <w:i/>
        </w:rPr>
        <w:t>Spe Salvi</w:t>
      </w:r>
      <w:r w:rsidRPr="00741487">
        <w:rPr>
          <w:rFonts w:asciiTheme="minorHAnsi" w:hAnsiTheme="minorHAnsi"/>
        </w:rPr>
        <w:t xml:space="preserve"> (30 de novembro de 2007), n.</w:t>
      </w:r>
      <w:r w:rsidR="0084174A">
        <w:rPr>
          <w:rFonts w:asciiTheme="minorHAnsi" w:hAnsiTheme="minorHAnsi"/>
        </w:rPr>
        <w:t>º</w:t>
      </w:r>
      <w:r w:rsidRPr="00741487">
        <w:rPr>
          <w:rFonts w:asciiTheme="minorHAnsi" w:hAnsiTheme="minorHAnsi"/>
        </w:rPr>
        <w:t xml:space="preserve"> 38.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21B" w:rsidRDefault="0083221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21B" w:rsidRDefault="0083221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21B" w:rsidRDefault="0083221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stylePaneFormatFilter w:val="3F01"/>
  <w:defaultTabStop w:val="567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A36"/>
    <w:rsid w:val="000148A9"/>
    <w:rsid w:val="000211D1"/>
    <w:rsid w:val="00023A70"/>
    <w:rsid w:val="00031F54"/>
    <w:rsid w:val="00042534"/>
    <w:rsid w:val="00057F31"/>
    <w:rsid w:val="000911C9"/>
    <w:rsid w:val="000B1456"/>
    <w:rsid w:val="000D2394"/>
    <w:rsid w:val="00104DBB"/>
    <w:rsid w:val="00111593"/>
    <w:rsid w:val="0012383D"/>
    <w:rsid w:val="00133CB1"/>
    <w:rsid w:val="001520A9"/>
    <w:rsid w:val="001826AB"/>
    <w:rsid w:val="001E4826"/>
    <w:rsid w:val="0020389A"/>
    <w:rsid w:val="002211AD"/>
    <w:rsid w:val="0024023E"/>
    <w:rsid w:val="00283AD5"/>
    <w:rsid w:val="002A7B19"/>
    <w:rsid w:val="002B22E3"/>
    <w:rsid w:val="00300C7D"/>
    <w:rsid w:val="003172F1"/>
    <w:rsid w:val="00342EC2"/>
    <w:rsid w:val="00363C9C"/>
    <w:rsid w:val="003B1BFF"/>
    <w:rsid w:val="003B27EA"/>
    <w:rsid w:val="003E20A0"/>
    <w:rsid w:val="004228B0"/>
    <w:rsid w:val="00491B5D"/>
    <w:rsid w:val="004A33AB"/>
    <w:rsid w:val="004D63FE"/>
    <w:rsid w:val="00561BD3"/>
    <w:rsid w:val="005914D1"/>
    <w:rsid w:val="005B1C0D"/>
    <w:rsid w:val="005E2DFC"/>
    <w:rsid w:val="00611530"/>
    <w:rsid w:val="00623128"/>
    <w:rsid w:val="00623AF2"/>
    <w:rsid w:val="00644015"/>
    <w:rsid w:val="00685373"/>
    <w:rsid w:val="006A20E4"/>
    <w:rsid w:val="006B7023"/>
    <w:rsid w:val="006C229C"/>
    <w:rsid w:val="00722DFD"/>
    <w:rsid w:val="00741487"/>
    <w:rsid w:val="00743224"/>
    <w:rsid w:val="007631C6"/>
    <w:rsid w:val="007776F4"/>
    <w:rsid w:val="00784FC4"/>
    <w:rsid w:val="007A3AB4"/>
    <w:rsid w:val="007A598F"/>
    <w:rsid w:val="007D5D74"/>
    <w:rsid w:val="007E4D4B"/>
    <w:rsid w:val="0083221B"/>
    <w:rsid w:val="008349FC"/>
    <w:rsid w:val="0084174A"/>
    <w:rsid w:val="008840AB"/>
    <w:rsid w:val="008A0104"/>
    <w:rsid w:val="008C0DFA"/>
    <w:rsid w:val="008D4197"/>
    <w:rsid w:val="00915C5A"/>
    <w:rsid w:val="00973207"/>
    <w:rsid w:val="00986871"/>
    <w:rsid w:val="009E3AEC"/>
    <w:rsid w:val="009F180E"/>
    <w:rsid w:val="00A17165"/>
    <w:rsid w:val="00A51F36"/>
    <w:rsid w:val="00A62E54"/>
    <w:rsid w:val="00AB06B4"/>
    <w:rsid w:val="00AC5C88"/>
    <w:rsid w:val="00AD247B"/>
    <w:rsid w:val="00AE63DB"/>
    <w:rsid w:val="00AE6D91"/>
    <w:rsid w:val="00B2662A"/>
    <w:rsid w:val="00B647FA"/>
    <w:rsid w:val="00B73543"/>
    <w:rsid w:val="00B74625"/>
    <w:rsid w:val="00B96A36"/>
    <w:rsid w:val="00BA5F82"/>
    <w:rsid w:val="00C1212C"/>
    <w:rsid w:val="00C276B4"/>
    <w:rsid w:val="00C52217"/>
    <w:rsid w:val="00C67BC1"/>
    <w:rsid w:val="00CA5D4C"/>
    <w:rsid w:val="00CB601B"/>
    <w:rsid w:val="00CB6483"/>
    <w:rsid w:val="00CC29D1"/>
    <w:rsid w:val="00D20582"/>
    <w:rsid w:val="00D772E6"/>
    <w:rsid w:val="00DA27D5"/>
    <w:rsid w:val="00DA7ED0"/>
    <w:rsid w:val="00DB7317"/>
    <w:rsid w:val="00E048B0"/>
    <w:rsid w:val="00E0505E"/>
    <w:rsid w:val="00E22D7D"/>
    <w:rsid w:val="00E32D65"/>
    <w:rsid w:val="00E35C51"/>
    <w:rsid w:val="00E8750D"/>
    <w:rsid w:val="00EB612F"/>
    <w:rsid w:val="00EB7216"/>
    <w:rsid w:val="00EC4818"/>
    <w:rsid w:val="00F32767"/>
    <w:rsid w:val="00F53A9D"/>
    <w:rsid w:val="00F633BE"/>
    <w:rsid w:val="00F639B6"/>
    <w:rsid w:val="00F940AE"/>
    <w:rsid w:val="00FB7AB5"/>
    <w:rsid w:val="00FF4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3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cter"/>
    <w:uiPriority w:val="99"/>
    <w:semiHidden/>
    <w:rsid w:val="00EB612F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F125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rsid w:val="00EB612F"/>
    <w:rPr>
      <w:rFonts w:cs="Times New Roman"/>
      <w:vertAlign w:val="superscript"/>
    </w:rPr>
  </w:style>
  <w:style w:type="paragraph" w:styleId="Cabealho">
    <w:name w:val="header"/>
    <w:basedOn w:val="Normal"/>
    <w:link w:val="CabealhoCarcter"/>
    <w:uiPriority w:val="99"/>
    <w:rsid w:val="000D2394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0D2394"/>
    <w:rPr>
      <w:rFonts w:cs="Times New Roman"/>
      <w:sz w:val="24"/>
      <w:szCs w:val="24"/>
    </w:rPr>
  </w:style>
  <w:style w:type="paragraph" w:styleId="Rodap">
    <w:name w:val="footer"/>
    <w:basedOn w:val="Normal"/>
    <w:link w:val="RodapCarcter"/>
    <w:uiPriority w:val="99"/>
    <w:rsid w:val="000D2394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0D2394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BA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8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697666-C6DC-405E-8D80-7EEEEB54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1626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Permanente da CEP - 8 março 2016</vt:lpstr>
    </vt:vector>
  </TitlesOfParts>
  <Company>CEP</Company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Permanente da CEP - 8 março 2016</dc:title>
  <dc:subject>Nota Pastoral sobre a Eutanásia</dc:subject>
  <dc:creator>Conselho Permanente da CEP</dc:creator>
  <cp:lastModifiedBy>Manuel Barbosa</cp:lastModifiedBy>
  <cp:revision>11</cp:revision>
  <dcterms:created xsi:type="dcterms:W3CDTF">2016-03-13T20:32:00Z</dcterms:created>
  <dcterms:modified xsi:type="dcterms:W3CDTF">2019-08-22T17:10:00Z</dcterms:modified>
</cp:coreProperties>
</file>